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39760" w14:textId="05A30FA0" w:rsidR="002D6049" w:rsidRPr="002D6049" w:rsidRDefault="002D6049" w:rsidP="002D6049">
      <w:pPr>
        <w:spacing w:after="200"/>
        <w:jc w:val="center"/>
        <w:rPr>
          <w:rFonts w:ascii="Cambria" w:eastAsia="Times New Roman" w:hAnsi="Cambria" w:cs="Times New Roman"/>
          <w:b/>
          <w:bCs/>
        </w:rPr>
      </w:pPr>
      <w:r>
        <w:rPr>
          <w:rFonts w:ascii="Cambria" w:eastAsia="Times New Roman" w:hAnsi="Cambria" w:cs="Times New Roman"/>
          <w:b/>
          <w:bCs/>
        </w:rPr>
        <w:t>The QoLT Foundry</w:t>
      </w:r>
    </w:p>
    <w:p w14:paraId="04125AFE" w14:textId="46CD668F"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 xml:space="preserve">The </w:t>
      </w:r>
      <w:r>
        <w:rPr>
          <w:rFonts w:ascii="Cambria" w:eastAsia="Times New Roman" w:hAnsi="Cambria" w:cs="Times New Roman"/>
        </w:rPr>
        <w:t xml:space="preserve">Quality of Life Technologies (QoLT) ERC’s </w:t>
      </w:r>
      <w:r w:rsidRPr="002D6049">
        <w:rPr>
          <w:rFonts w:ascii="Cambria" w:eastAsia="Times New Roman" w:hAnsi="Cambria" w:cs="Times New Roman"/>
        </w:rPr>
        <w:t xml:space="preserve">Foundry was initially funded in 2005 by CMU’s Vice President for Research and a grant from the Benedum Foundation. In 2009, an opportunity arose to find additional support for the Foundry through the ERC Innovation Program, which Stone and CMU quickly seized upon. An award was made to </w:t>
      </w:r>
      <w:r w:rsidRPr="002D6049">
        <w:rPr>
          <w:rFonts w:ascii="Cambria" w:eastAsia="Times New Roman" w:hAnsi="Cambria" w:cs="Arial"/>
          <w:iCs/>
          <w:color w:val="000000"/>
          <w:shd w:val="clear" w:color="auto" w:fill="FFFFFF"/>
        </w:rPr>
        <w:t>Richard D. McCullough</w:t>
      </w:r>
      <w:r w:rsidRPr="002D6049">
        <w:rPr>
          <w:rFonts w:ascii="Cambria" w:eastAsia="Times New Roman" w:hAnsi="Cambria" w:cs="Times New Roman"/>
        </w:rPr>
        <w:t xml:space="preserve">, then the CMU Associate Vice President for Research, to expand the Foundry as a broader base for regional economic development and thereby achieve three objectives: (1) ensure that spin-off companies emerged from the QoLT Center more speedily and on a sounder footing than might otherwise be possible for start-up firms, (2) make the QoLT Foundry a permanent feature of the QoLT ERC, and (3) refine and codify the ERC’s technology transfer processes. The effort was a partnership between the ERC, CMU, the University of Pittsburgh (a QoLT core partner), industry, local foundations, and regional economic development organizations. </w:t>
      </w:r>
    </w:p>
    <w:p w14:paraId="4F39876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Through its initial CMU support and the ensuing ERC Innovation Award in 2009, a comprehensive process was implemented for the commercialization of innovations from QoLT research. QoLT’s final report to NSF describes the process as follows:</w:t>
      </w:r>
      <w:r w:rsidRPr="002D6049">
        <w:rPr>
          <w:rFonts w:ascii="Cambria" w:eastAsia="Times New Roman" w:hAnsi="Cambria" w:cs="Times New Roman"/>
          <w:vertAlign w:val="superscript"/>
        </w:rPr>
        <w:footnoteReference w:id="1"/>
      </w:r>
      <w:r w:rsidRPr="002D6049">
        <w:rPr>
          <w:rFonts w:ascii="Cambria" w:eastAsia="Times New Roman" w:hAnsi="Cambria" w:cs="Times New Roman"/>
        </w:rPr>
        <w:t xml:space="preserve"> </w:t>
      </w:r>
    </w:p>
    <w:p w14:paraId="6D0D79E6" w14:textId="77777777" w:rsidR="002D6049" w:rsidRPr="002D6049" w:rsidRDefault="002D6049" w:rsidP="002D6049">
      <w:pPr>
        <w:rPr>
          <w:rFonts w:ascii="Cambria" w:eastAsia="Times New Roman" w:hAnsi="Cambria" w:cs="Times New Roman"/>
          <w:i/>
          <w:iCs/>
        </w:rPr>
      </w:pPr>
      <w:r w:rsidRPr="002D6049">
        <w:rPr>
          <w:rFonts w:ascii="Cambria" w:eastAsia="Times New Roman" w:hAnsi="Cambria" w:cs="Times New Roman"/>
          <w:i/>
          <w:iCs/>
        </w:rPr>
        <w:t xml:space="preserve">The process is very similar to what the business world uses to determine if inventions are in fact innovations. QoLT Center researchers themselves, the QoLT Center leadership, IPAB  (Industry/Practitioner Advisory Board)members, and QoLT Foundry staff identify candidate technologies. QoLT Foundry staff called Executives-in-Residence (EIRs) are experienced entrepreneurs and, importantly, are chartered to cultivate opportunities to the point that they themselves will shepherd it out of the university. EIRs make an initial judgment about the viability of the opportunity: ‘Is there an innovation and/or a potential business?’ If so, the EIRs then perform due diligence, which is similar to what angel investors and venture capitalists do when making funding decisions. Interns, who are graduate students and upperclassmen in business, law, and technology management, do the heavy lifting at this stage—identifying and quantifying markets, assessing the competitive position, evaluating the strength of the intellectual property, etc.—to arrive at a preliminary business model. Those are shared in ‘Opportunity Meetings’ with our IPAB, our innovation partners which include local economic development organizations, and other potential investors. For the Phase II ‘business model development’ step (actions that start-up companies take), the EIRs take the lead role. The final decision is jointly made by the researcher(s) and EIR(s). </w:t>
      </w:r>
    </w:p>
    <w:p w14:paraId="42AE1372" w14:textId="4BF47E44"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 xml:space="preserve">The Foundry methodology injects non-technical, market-based considerations into technology and product development at a much earlier stage than traditional academic research does and runs a number of the analyses in parallel, so that the conventional linear process is accelerated. The “early phase blink test” is an example of the start of the decision process.  </w:t>
      </w:r>
    </w:p>
    <w:p w14:paraId="2B2CC938" w14:textId="77777777" w:rsidR="002D6049" w:rsidRPr="002D6049" w:rsidRDefault="002D6049" w:rsidP="002D6049">
      <w:pPr>
        <w:rPr>
          <w:rFonts w:ascii="Cambria" w:eastAsia="Times New Roman" w:hAnsi="Cambria" w:cs="ArialMT"/>
        </w:rPr>
      </w:pPr>
      <w:r w:rsidRPr="002D6049">
        <w:rPr>
          <w:rFonts w:ascii="Cambria" w:eastAsia="Times New Roman" w:hAnsi="Cambria" w:cs="Times New Roman"/>
          <w:noProof/>
        </w:rPr>
        <w:lastRenderedPageBreak/>
        <w:drawing>
          <wp:inline distT="0" distB="0" distL="0" distR="0" wp14:anchorId="1612CC81" wp14:editId="6A3C33D9">
            <wp:extent cx="4813300" cy="3609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6533" cy="3612400"/>
                    </a:xfrm>
                    <a:prstGeom prst="rect">
                      <a:avLst/>
                    </a:prstGeom>
                  </pic:spPr>
                </pic:pic>
              </a:graphicData>
            </a:graphic>
          </wp:inline>
        </w:drawing>
      </w:r>
    </w:p>
    <w:p w14:paraId="703023C9" w14:textId="43B9AB86" w:rsidR="002D6049" w:rsidRPr="002D6049" w:rsidRDefault="002D6049" w:rsidP="002D6049">
      <w:pPr>
        <w:spacing w:after="200"/>
        <w:rPr>
          <w:rFonts w:ascii="Cambria" w:eastAsia="Times New Roman" w:hAnsi="Cambria" w:cs="Times New Roman"/>
          <w:b/>
          <w:i/>
        </w:rPr>
      </w:pPr>
      <w:r w:rsidRPr="002D6049">
        <w:rPr>
          <w:rFonts w:ascii="Cambria" w:eastAsia="Times New Roman" w:hAnsi="Cambria" w:cs="Times New Roman"/>
          <w:b/>
          <w:i/>
        </w:rPr>
        <w:t>The Foundry “Blink Test” (Credit: QoLT)</w:t>
      </w:r>
      <w:r w:rsidRPr="002D6049">
        <w:rPr>
          <w:rFonts w:ascii="Cambria" w:eastAsia="Times New Roman" w:hAnsi="Cambria" w:cs="ArialMT"/>
          <w:b/>
          <w:i/>
          <w:vertAlign w:val="superscript"/>
        </w:rPr>
        <w:footnoteReference w:id="2"/>
      </w:r>
    </w:p>
    <w:p w14:paraId="01D9C9F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 xml:space="preserve">During the three years of support under the ERC Innovation award, the methodology was refined by tracking and analyzing each product definition and company formation to develop an understanding of the various development cycles for appropriate intervention, thereby generating a model and set of criteria for optimizing resource application in subsequent efforts. The effort implemented and evaluated a strategy for narrowing the funding gap (commonly referred to as the ‘Valley of Death’) that nascent technology-based companies usually experience while transitioning from university to private sector. </w:t>
      </w:r>
    </w:p>
    <w:p w14:paraId="1B24AFA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 xml:space="preserve">An additional outcome of the Foundry was to develop a better understanding of how to draw non-technical students into technology commercialization and formally assess participation of all types of students. As a result, students from Carnegie Mellon and the University of Pittsburgh in engineering, computer science, business, innovation management, and law were involved. From QoLT’s Final Report: </w:t>
      </w:r>
    </w:p>
    <w:p w14:paraId="6973DE6E" w14:textId="440F1C91" w:rsidR="002D6049" w:rsidRPr="002D6049" w:rsidRDefault="002D6049" w:rsidP="002D6049">
      <w:pPr>
        <w:rPr>
          <w:rFonts w:ascii="Cambria" w:eastAsia="Optima ExtraBlack" w:hAnsi="Cambria" w:cs="Times New Roman"/>
          <w:i/>
          <w:iCs/>
        </w:rPr>
      </w:pPr>
      <w:r w:rsidRPr="002D6049">
        <w:rPr>
          <w:rFonts w:ascii="Cambria" w:eastAsia="Times New Roman" w:hAnsi="Cambria" w:cs="Times New Roman"/>
          <w:i/>
          <w:iCs/>
        </w:rPr>
        <w:t xml:space="preserve">Overall, the Foundry looked at 54 technologies, did due diligence on 39, and presented 30 at Opportunity Meetings. 14 of them became start-up companies, of which 7 are still in business—which is much higher than the average startup success rate (about 10%). Two of the five total EIRs left their position with the university to lead the start-ups that they were advising. It is also worth noting that of the seven active companies, three are based on core technologies and two were founded by core ERC graduate students. Peekabuy, Inc., was founded by CMU PhD alumnus Henry Kang, who worked on computer recognition of everyday objects. The company is </w:t>
      </w:r>
      <w:r w:rsidRPr="002D6049">
        <w:rPr>
          <w:rFonts w:ascii="Cambria" w:eastAsia="Times New Roman" w:hAnsi="Cambria" w:cs="Arial"/>
          <w:i/>
          <w:iCs/>
          <w:color w:val="3D4448"/>
        </w:rPr>
        <w:t xml:space="preserve">developing products for image-based shopping recommendations and </w:t>
      </w:r>
      <w:r w:rsidRPr="002D6049">
        <w:rPr>
          <w:rFonts w:ascii="Cambria" w:eastAsia="Times New Roman" w:hAnsi="Cambria" w:cs="Arial"/>
          <w:i/>
          <w:iCs/>
          <w:noProof/>
          <w:color w:val="3D4448"/>
        </w:rPr>
        <w:lastRenderedPageBreak/>
        <mc:AlternateContent>
          <mc:Choice Requires="wps">
            <w:drawing>
              <wp:anchor distT="45720" distB="45720" distL="114300" distR="114300" simplePos="0" relativeHeight="251659264" behindDoc="0" locked="0" layoutInCell="1" allowOverlap="1" wp14:anchorId="229DF482" wp14:editId="1B51DBE0">
                <wp:simplePos x="0" y="0"/>
                <wp:positionH relativeFrom="margin">
                  <wp:posOffset>2667000</wp:posOffset>
                </wp:positionH>
                <wp:positionV relativeFrom="paragraph">
                  <wp:posOffset>127000</wp:posOffset>
                </wp:positionV>
                <wp:extent cx="3321050" cy="1404620"/>
                <wp:effectExtent l="0" t="0" r="12700"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4620"/>
                        </a:xfrm>
                        <a:prstGeom prst="rect">
                          <a:avLst/>
                        </a:prstGeom>
                        <a:solidFill>
                          <a:srgbClr val="FFFFFF"/>
                        </a:solidFill>
                        <a:ln w="9525">
                          <a:solidFill>
                            <a:srgbClr val="000000"/>
                          </a:solidFill>
                          <a:miter lim="800000"/>
                          <a:headEnd/>
                          <a:tailEnd/>
                        </a:ln>
                      </wps:spPr>
                      <wps:txbx>
                        <w:txbxContent>
                          <w:p w14:paraId="594C0459" w14:textId="77777777" w:rsidR="002D6049" w:rsidRPr="002D6049" w:rsidRDefault="002D6049" w:rsidP="002D6049">
                            <w:pPr>
                              <w:rPr>
                                <w:rFonts w:ascii="Cambria" w:hAnsi="Cambria"/>
                                <w:b/>
                              </w:rPr>
                            </w:pPr>
                            <w:r w:rsidRPr="002D6049">
                              <w:rPr>
                                <w:rFonts w:ascii="Cambria" w:hAnsi="Cambria"/>
                                <w:b/>
                              </w:rPr>
                              <w:t>Tiramisu LLC</w:t>
                            </w:r>
                          </w:p>
                          <w:p w14:paraId="544FB33B" w14:textId="77777777" w:rsidR="002D6049" w:rsidRPr="002D6049" w:rsidRDefault="002D6049" w:rsidP="002D6049">
                            <w:pPr>
                              <w:rPr>
                                <w:rFonts w:ascii="Cambria" w:hAnsi="Cambria"/>
                              </w:rPr>
                            </w:pPr>
                            <w:r w:rsidRPr="002D6049">
                              <w:rPr>
                                <w:rFonts w:ascii="Cambria" w:hAnsi="Cambria"/>
                              </w:rPr>
                              <w:t>QoLT researchers within the affiliated Rehabilitation Engineering Research Center on Accessible Public Transportation (funded by the National Institute on Disability, Independent Living, and Rehabilitation Research) developed and deployed a transit information smartphone app called Tiramisu Transit. The app is based on universal design concepts and has demonstrated the impact of advanced transit information on quality of life. Tiramisu has been deployed to the public since 2011, has extensive logging capabilities, is deployed in both Pittsburgh and New York City, and runs on both Apple and Android phones. It has been used for daily travel by a large population and has received academic paper, mainstream industry (ITSA), and accessibility (FCC) awards. Tiramisu is still deployed to the public and remains an important, active research testbed. Over the years, new scientific knowledge has been discovered regarding crowdsourcing, personalized information, transit service delivery, machine learning-supported user interaction, transportation planning, and consumer advocacy. As part of the development process, the team spun out Tiramisu Transit LLC with the assistance of the QoLT technology transfer team and hosted multiple QoLT REU students on associated summer projects. (For more information, see http://www.rercapt.org and http://www.tiramisutransit.com.)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9DF482" id="_x0000_t202" coordsize="21600,21600" o:spt="202" path="m,l,21600r21600,l21600,xe">
                <v:stroke joinstyle="miter"/>
                <v:path gradientshapeok="t" o:connecttype="rect"/>
              </v:shapetype>
              <v:shape id="Text Box 2" o:spid="_x0000_s1026" type="#_x0000_t202" style="position:absolute;margin-left:210pt;margin-top:10pt;width:26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9jJAIAAEYEAAAOAAAAZHJzL2Uyb0RvYy54bWysU9uO2yAQfa/Uf0C8N3acZLu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">
                <v:textbox style="mso-fit-shape-to-text:t">
                  <w:txbxContent>
                    <w:p w14:paraId="594C0459" w14:textId="77777777" w:rsidR="002D6049" w:rsidRPr="002D6049" w:rsidRDefault="002D6049" w:rsidP="002D6049">
                      <w:pPr>
                        <w:rPr>
                          <w:rFonts w:ascii="Cambria" w:hAnsi="Cambria"/>
                          <w:b/>
                        </w:rPr>
                      </w:pPr>
                      <w:r w:rsidRPr="002D6049">
                        <w:rPr>
                          <w:rFonts w:ascii="Cambria" w:hAnsi="Cambria"/>
                          <w:b/>
                        </w:rPr>
                        <w:t>Tiramisu LLC</w:t>
                      </w:r>
                    </w:p>
                    <w:p w14:paraId="544FB33B" w14:textId="77777777" w:rsidR="002D6049" w:rsidRPr="002D6049" w:rsidRDefault="002D6049" w:rsidP="002D6049">
                      <w:pPr>
                        <w:rPr>
                          <w:rFonts w:ascii="Cambria" w:hAnsi="Cambria"/>
                        </w:rPr>
                      </w:pPr>
                      <w:proofErr w:type="spellStart"/>
                      <w:r w:rsidRPr="002D6049">
                        <w:rPr>
                          <w:rFonts w:ascii="Cambria" w:hAnsi="Cambria"/>
                        </w:rPr>
                        <w:t>QoLT</w:t>
                      </w:r>
                      <w:proofErr w:type="spellEnd"/>
                      <w:r w:rsidRPr="002D6049">
                        <w:rPr>
                          <w:rFonts w:ascii="Cambria" w:hAnsi="Cambria"/>
                        </w:rPr>
                        <w:t xml:space="preserve"> researchers within the affiliated Rehabilitation Engineering Research Center on Accessible Public Transportation (funded by the National Institute on Disability, Independent Living, and Rehabilitation Research) developed and deployed a transit information smartphone app called Tiramisu Transit. The app is based on universal design concepts and has demonstrated the impact of advanced transit information on quality of life. Tiramisu has been deployed to the public since 2011, has extensive logging capabilities, is deployed in both Pittsburgh and New York City, and runs on both Apple and Android phones. It has been used for daily travel by a large population and has received academic paper, mainstream industry (ITSA), and accessibility (FCC) awards. Tiramisu is still deployed to the public and remains an important, active research testbed. Over the years, new scientific knowledge has been discovered regarding crowdsourcing, personalized information, transit service delivery, machine learning-supported user interaction, transportation planning, and consumer advocacy. As part of the development process, the team spun out Tiramisu Transit LLC with the assistance of the </w:t>
                      </w:r>
                      <w:proofErr w:type="spellStart"/>
                      <w:r w:rsidRPr="002D6049">
                        <w:rPr>
                          <w:rFonts w:ascii="Cambria" w:hAnsi="Cambria"/>
                        </w:rPr>
                        <w:t>QoLT</w:t>
                      </w:r>
                      <w:proofErr w:type="spellEnd"/>
                      <w:r w:rsidRPr="002D6049">
                        <w:rPr>
                          <w:rFonts w:ascii="Cambria" w:hAnsi="Cambria"/>
                        </w:rPr>
                        <w:t xml:space="preserve"> technology transfer team and hosted multiple </w:t>
                      </w:r>
                      <w:proofErr w:type="spellStart"/>
                      <w:r w:rsidRPr="002D6049">
                        <w:rPr>
                          <w:rFonts w:ascii="Cambria" w:hAnsi="Cambria"/>
                        </w:rPr>
                        <w:t>QoLT</w:t>
                      </w:r>
                      <w:proofErr w:type="spellEnd"/>
                      <w:r w:rsidRPr="002D6049">
                        <w:rPr>
                          <w:rFonts w:ascii="Cambria" w:hAnsi="Cambria"/>
                        </w:rPr>
                        <w:t xml:space="preserve"> REU students on associated summer projects. (For more information, see http://www.rercapt.org and http://www.tiramisutransit.com.)</w:t>
                      </w:r>
                    </w:p>
                  </w:txbxContent>
                </v:textbox>
                <w10:wrap type="square" anchorx="margin"/>
              </v:shape>
            </w:pict>
          </mc:Fallback>
        </mc:AlternateContent>
      </w:r>
      <w:r w:rsidRPr="002D6049">
        <w:rPr>
          <w:rFonts w:ascii="Cambria" w:eastAsia="Times New Roman" w:hAnsi="Cambria" w:cs="Arial"/>
          <w:i/>
          <w:iCs/>
          <w:color w:val="3D4448"/>
        </w:rPr>
        <w:t xml:space="preserve">was </w:t>
      </w:r>
      <w:r w:rsidRPr="002D6049">
        <w:rPr>
          <w:rFonts w:ascii="Cambria" w:eastAsia="Times New Roman" w:hAnsi="Cambria" w:cs="Times New Roman"/>
          <w:i/>
          <w:iCs/>
          <w:lang w:eastAsia="ja-JP"/>
        </w:rPr>
        <w:t>featured in iTunes App Store front page as one of the Best New Apps among all categories and ranked #8 among the most downloaded apps in the Lifestyle category for 2014.</w:t>
      </w:r>
      <w:r w:rsidRPr="002D6049">
        <w:rPr>
          <w:rFonts w:ascii="Cambria" w:eastAsia="Times New Roman" w:hAnsi="Cambria" w:cs="Arial"/>
          <w:i/>
          <w:iCs/>
          <w:color w:val="3D4448"/>
        </w:rPr>
        <w:t xml:space="preserve"> </w:t>
      </w:r>
      <w:r w:rsidRPr="002D6049">
        <w:rPr>
          <w:rFonts w:ascii="Cambria" w:eastAsia="Times New Roman" w:hAnsi="Cambria" w:cs="Times New Roman"/>
          <w:i/>
          <w:iCs/>
        </w:rPr>
        <w:t xml:space="preserve">Pitt alumnus </w:t>
      </w:r>
      <w:r w:rsidRPr="002D6049">
        <w:rPr>
          <w:rFonts w:ascii="Cambria" w:eastAsia="Times New Roman" w:hAnsi="Cambria" w:cs="Times New Roman"/>
          <w:i/>
          <w:iCs/>
          <w:u w:val="single"/>
        </w:rPr>
        <w:t>Nahom Beyene</w:t>
      </w:r>
      <w:r w:rsidRPr="002D6049">
        <w:rPr>
          <w:rFonts w:ascii="Cambria" w:eastAsia="Times New Roman" w:hAnsi="Cambria" w:cs="Times New Roman"/>
          <w:i/>
          <w:iCs/>
        </w:rPr>
        <w:t xml:space="preserve"> </w:t>
      </w:r>
      <w:r w:rsidRPr="002D6049">
        <w:rPr>
          <w:rFonts w:ascii="Cambria" w:eastAsia="Optima ExtraBlack" w:hAnsi="Cambria" w:cs="Times New Roman"/>
          <w:i/>
          <w:iCs/>
        </w:rPr>
        <w:t>received NSF iCorp funding for his spin-off vehicle technology to measure driving capabilities of older drivers and teams. His company, Navity, which aims to commercialize the NAViSection system as an embedded technology, was also named a finalist in the Everyday Health Awards for Innovation.</w:t>
      </w:r>
      <w:r w:rsidRPr="002D6049">
        <w:rPr>
          <w:rFonts w:ascii="Cambria" w:eastAsia="Optima ExtraBlack" w:hAnsi="Cambria" w:cs="Times New Roman"/>
          <w:i/>
          <w:iCs/>
          <w:vertAlign w:val="superscript"/>
        </w:rPr>
        <w:footnoteReference w:id="3"/>
      </w:r>
      <w:r w:rsidRPr="002D6049">
        <w:rPr>
          <w:rFonts w:ascii="Cambria" w:eastAsia="Optima ExtraBlack" w:hAnsi="Cambria" w:cs="Times New Roman"/>
          <w:i/>
          <w:iCs/>
        </w:rPr>
        <w:t xml:space="preserve"> </w:t>
      </w:r>
    </w:p>
    <w:p w14:paraId="1D29125B" w14:textId="51C75593" w:rsidR="002D6049" w:rsidRPr="002D6049" w:rsidRDefault="002D6049" w:rsidP="002D6049">
      <w:pPr>
        <w:rPr>
          <w:rFonts w:ascii="Cambria" w:eastAsia="Times New Roman" w:hAnsi="Cambria" w:cs="Times New Roman"/>
          <w:shd w:val="clear" w:color="auto" w:fill="FFFFFF"/>
        </w:rPr>
      </w:pPr>
      <w:r w:rsidRPr="002D6049">
        <w:rPr>
          <w:rFonts w:ascii="Cambria" w:eastAsia="Times New Roman" w:hAnsi="Cambria" w:cs="Times New Roman"/>
          <w:shd w:val="clear" w:color="auto" w:fill="FFFFFF"/>
        </w:rPr>
        <w:t>The Foundry continued throughout the NSF ERC funding cycle for QoLT. Its long-term legacy inside CMU was to serve as an inspiration for the CMU Center of Innovation and Entrepreneurship (CIE),</w:t>
      </w:r>
      <w:r w:rsidRPr="002D6049">
        <w:rPr>
          <w:rFonts w:ascii="Cambria" w:eastAsia="Times New Roman" w:hAnsi="Cambria" w:cs="Arial"/>
          <w:iCs/>
          <w:color w:val="000000"/>
          <w:shd w:val="clear" w:color="auto" w:fill="FFFFFF"/>
          <w:vertAlign w:val="superscript"/>
        </w:rPr>
        <w:footnoteReference w:id="4"/>
      </w:r>
      <w:r w:rsidRPr="002D6049">
        <w:rPr>
          <w:rFonts w:ascii="Cambria" w:eastAsia="Times New Roman" w:hAnsi="Cambria" w:cs="Times New Roman"/>
          <w:shd w:val="clear" w:color="auto" w:fill="FFFFFF"/>
        </w:rPr>
        <w:t xml:space="preserve"> according to Daniel Siewiorek, the Director of the ERC.</w:t>
      </w:r>
      <w:r w:rsidRPr="002D6049">
        <w:rPr>
          <w:rFonts w:ascii="Cambria" w:eastAsia="Times New Roman" w:hAnsi="Cambria" w:cs="Arial"/>
          <w:iCs/>
          <w:color w:val="000000"/>
          <w:shd w:val="clear" w:color="auto" w:fill="FFFFFF"/>
          <w:vertAlign w:val="superscript"/>
        </w:rPr>
        <w:footnoteReference w:id="5"/>
      </w:r>
      <w:r w:rsidRPr="002D6049">
        <w:rPr>
          <w:rFonts w:ascii="Cambria" w:eastAsia="Times New Roman" w:hAnsi="Cambria" w:cs="Times New Roman"/>
          <w:shd w:val="clear" w:color="auto" w:fill="FFFFFF"/>
        </w:rPr>
        <w:t xml:space="preserve"> In addition, Richard McCullough, the PI for the Foundry Project and CMU’s Associate VP for Research, points to the Foundry and Project Olympus as the foundation for CMU’s exceptional success in spinning out start-up firms such as Tiramisu (see sidebar) and others listed in </w:t>
      </w:r>
      <w:r>
        <w:rPr>
          <w:rFonts w:ascii="Cambria" w:eastAsia="Times New Roman" w:hAnsi="Cambria" w:cs="Times New Roman"/>
          <w:shd w:val="clear" w:color="auto" w:fill="FFFFFF"/>
        </w:rPr>
        <w:t>the t</w:t>
      </w:r>
      <w:r w:rsidRPr="002D6049">
        <w:rPr>
          <w:rFonts w:ascii="Cambria" w:eastAsia="Times New Roman" w:hAnsi="Cambria" w:cs="Times New Roman"/>
          <w:shd w:val="clear" w:color="auto" w:fill="FFFFFF"/>
        </w:rPr>
        <w:t>able.</w:t>
      </w:r>
      <w:r w:rsidRPr="002D6049">
        <w:rPr>
          <w:rFonts w:ascii="Cambria" w:eastAsia="Times New Roman" w:hAnsi="Cambria" w:cs="Arial"/>
          <w:iCs/>
          <w:color w:val="000000"/>
          <w:shd w:val="clear" w:color="auto" w:fill="FFFFFF"/>
          <w:vertAlign w:val="superscript"/>
        </w:rPr>
        <w:footnoteReference w:id="6"/>
      </w:r>
      <w:r w:rsidRPr="002D6049">
        <w:rPr>
          <w:rFonts w:ascii="Cambria" w:eastAsia="Times New Roman" w:hAnsi="Cambria" w:cs="Times New Roman"/>
          <w:shd w:val="clear" w:color="auto" w:fill="FFFFFF"/>
        </w:rPr>
        <w:t xml:space="preserve"> </w:t>
      </w:r>
    </w:p>
    <w:p w14:paraId="4BB1F238" w14:textId="05BA82F4" w:rsidR="002D6049" w:rsidRDefault="002D6049" w:rsidP="002D6049">
      <w:pPr>
        <w:spacing w:after="200"/>
        <w:rPr>
          <w:rFonts w:ascii="Cambria" w:eastAsia="Optima ExtraBlack" w:hAnsi="Cambria" w:cs="Times New Roman"/>
          <w:b/>
        </w:rPr>
      </w:pPr>
      <w:r w:rsidRPr="002D6049">
        <w:rPr>
          <w:rFonts w:ascii="Cambria" w:eastAsia="Optima ExtraBlack" w:hAnsi="Cambria" w:cs="Times New Roman"/>
          <w:b/>
        </w:rPr>
        <w:t>Foundry-generated Spin-off Firms</w:t>
      </w:r>
      <w:r w:rsidRPr="002D6049">
        <w:rPr>
          <w:rFonts w:ascii="Cambria" w:eastAsia="Optima ExtraBlack" w:hAnsi="Cambria" w:cs="Times New Roman"/>
          <w:vertAlign w:val="superscript"/>
        </w:rPr>
        <w:footnoteReference w:id="7"/>
      </w:r>
    </w:p>
    <w:p w14:paraId="5F3E8DC6" w14:textId="12C7C577" w:rsidR="002D6049" w:rsidRDefault="002D6049" w:rsidP="002D6049">
      <w:pPr>
        <w:spacing w:after="200"/>
        <w:rPr>
          <w:rFonts w:ascii="Cambria" w:eastAsia="Times New Roman" w:hAnsi="Cambria" w:cs="Times New Roman"/>
          <w:lang w:eastAsia="ja-JP"/>
        </w:rPr>
      </w:pPr>
    </w:p>
    <w:p w14:paraId="14EF1118" w14:textId="77777777" w:rsidR="002D6049" w:rsidRPr="002D6049" w:rsidRDefault="002D6049" w:rsidP="002D6049">
      <w:pPr>
        <w:spacing w:after="200"/>
        <w:rPr>
          <w:rFonts w:ascii="Cambria" w:eastAsia="Times New Roman" w:hAnsi="Cambria" w:cs="Times New Roman"/>
          <w:lang w:eastAsia="ja-JP"/>
        </w:rPr>
      </w:pPr>
    </w:p>
    <w:tbl>
      <w:tblPr>
        <w:tblpPr w:leftFromText="187" w:rightFromText="187" w:vertAnchor="page" w:horzAnchor="margin" w:tblpXSpec="center" w:tblpY="2351"/>
        <w:tblOverlap w:val="never"/>
        <w:tblW w:w="11811" w:type="dxa"/>
        <w:tblLook w:val="04A0" w:firstRow="1" w:lastRow="0" w:firstColumn="1" w:lastColumn="0" w:noHBand="0" w:noVBand="1"/>
      </w:tblPr>
      <w:tblGrid>
        <w:gridCol w:w="2656"/>
        <w:gridCol w:w="1683"/>
        <w:gridCol w:w="1134"/>
        <w:gridCol w:w="1261"/>
        <w:gridCol w:w="1780"/>
        <w:gridCol w:w="1976"/>
        <w:gridCol w:w="1321"/>
      </w:tblGrid>
      <w:tr w:rsidR="002D6049" w:rsidRPr="002D6049" w14:paraId="2972819B" w14:textId="77777777" w:rsidTr="002D6049">
        <w:trPr>
          <w:trHeight w:hRule="exact" w:val="639"/>
        </w:trPr>
        <w:tc>
          <w:tcPr>
            <w:tcW w:w="0" w:type="auto"/>
            <w:tcBorders>
              <w:top w:val="single" w:sz="4" w:space="0" w:color="auto"/>
              <w:left w:val="single" w:sz="4" w:space="0" w:color="auto"/>
              <w:bottom w:val="single" w:sz="4" w:space="0" w:color="auto"/>
              <w:right w:val="single" w:sz="4" w:space="0" w:color="auto"/>
            </w:tcBorders>
            <w:shd w:val="clear" w:color="000000" w:fill="A6A6A6"/>
            <w:vAlign w:val="center"/>
            <w:hideMark/>
          </w:tcPr>
          <w:p w14:paraId="4BF98B0F"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lastRenderedPageBreak/>
              <w:t>Company</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3F58A507"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Incorporated</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46BFCA92"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Status</w:t>
            </w:r>
          </w:p>
        </w:tc>
        <w:tc>
          <w:tcPr>
            <w:tcW w:w="1261" w:type="dxa"/>
            <w:tcBorders>
              <w:top w:val="single" w:sz="4" w:space="0" w:color="auto"/>
              <w:left w:val="nil"/>
              <w:bottom w:val="single" w:sz="4" w:space="0" w:color="auto"/>
              <w:right w:val="single" w:sz="4" w:space="0" w:color="auto"/>
            </w:tcBorders>
            <w:shd w:val="clear" w:color="000000" w:fill="A6A6A6"/>
            <w:vAlign w:val="center"/>
            <w:hideMark/>
          </w:tcPr>
          <w:p w14:paraId="46CB1263"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Funding</w:t>
            </w:r>
          </w:p>
        </w:tc>
        <w:tc>
          <w:tcPr>
            <w:tcW w:w="1780" w:type="dxa"/>
            <w:tcBorders>
              <w:top w:val="single" w:sz="4" w:space="0" w:color="auto"/>
              <w:left w:val="nil"/>
              <w:bottom w:val="single" w:sz="4" w:space="0" w:color="auto"/>
              <w:right w:val="single" w:sz="4" w:space="0" w:color="auto"/>
            </w:tcBorders>
            <w:shd w:val="clear" w:color="000000" w:fill="A6A6A6"/>
            <w:vAlign w:val="center"/>
            <w:hideMark/>
          </w:tcPr>
          <w:p w14:paraId="778D4783"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Target Market(s)</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01FD6DD8"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Technology</w:t>
            </w:r>
          </w:p>
        </w:tc>
        <w:tc>
          <w:tcPr>
            <w:tcW w:w="1321" w:type="dxa"/>
            <w:tcBorders>
              <w:top w:val="single" w:sz="4" w:space="0" w:color="auto"/>
              <w:left w:val="nil"/>
              <w:bottom w:val="single" w:sz="4" w:space="0" w:color="auto"/>
              <w:right w:val="single" w:sz="4" w:space="0" w:color="auto"/>
            </w:tcBorders>
            <w:shd w:val="clear" w:color="000000" w:fill="A6A6A6"/>
            <w:vAlign w:val="center"/>
            <w:hideMark/>
          </w:tcPr>
          <w:p w14:paraId="726BB7AE" w14:textId="77777777" w:rsidR="002D6049" w:rsidRPr="002D6049" w:rsidRDefault="002D6049" w:rsidP="002D6049">
            <w:pPr>
              <w:rPr>
                <w:rFonts w:ascii="Cambria" w:eastAsia="Times New Roman" w:hAnsi="Cambria" w:cs="Times New Roman"/>
                <w:b/>
              </w:rPr>
            </w:pPr>
            <w:r w:rsidRPr="002D6049">
              <w:rPr>
                <w:rFonts w:ascii="Cambria" w:eastAsia="Times New Roman" w:hAnsi="Cambria" w:cs="Times New Roman"/>
                <w:b/>
              </w:rPr>
              <w:t>ERC Project Type</w:t>
            </w:r>
          </w:p>
        </w:tc>
      </w:tr>
      <w:tr w:rsidR="002D6049" w:rsidRPr="002D6049" w14:paraId="08E851FB" w14:textId="77777777" w:rsidTr="002D6049">
        <w:trPr>
          <w:trHeight w:hRule="exact" w:val="8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2D76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Invynt, LLC</w:t>
            </w:r>
          </w:p>
        </w:tc>
        <w:tc>
          <w:tcPr>
            <w:tcW w:w="0" w:type="auto"/>
            <w:tcBorders>
              <w:top w:val="nil"/>
              <w:left w:val="nil"/>
              <w:bottom w:val="single" w:sz="4" w:space="0" w:color="auto"/>
              <w:right w:val="single" w:sz="4" w:space="0" w:color="auto"/>
            </w:tcBorders>
            <w:shd w:val="clear" w:color="auto" w:fill="auto"/>
            <w:vAlign w:val="center"/>
            <w:hideMark/>
          </w:tcPr>
          <w:p w14:paraId="216D3CF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06/01/09</w:t>
            </w:r>
          </w:p>
        </w:tc>
        <w:tc>
          <w:tcPr>
            <w:tcW w:w="0" w:type="auto"/>
            <w:tcBorders>
              <w:top w:val="nil"/>
              <w:left w:val="nil"/>
              <w:bottom w:val="single" w:sz="4" w:space="0" w:color="auto"/>
              <w:right w:val="single" w:sz="4" w:space="0" w:color="auto"/>
            </w:tcBorders>
            <w:shd w:val="clear" w:color="auto" w:fill="auto"/>
            <w:noWrap/>
            <w:vAlign w:val="center"/>
            <w:hideMark/>
          </w:tcPr>
          <w:p w14:paraId="76C8A75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0AC7DB9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sought angel/VC funding</w:t>
            </w:r>
          </w:p>
        </w:tc>
        <w:tc>
          <w:tcPr>
            <w:tcW w:w="1780" w:type="dxa"/>
            <w:tcBorders>
              <w:top w:val="nil"/>
              <w:left w:val="nil"/>
              <w:bottom w:val="single" w:sz="4" w:space="0" w:color="auto"/>
              <w:right w:val="single" w:sz="4" w:space="0" w:color="auto"/>
            </w:tcBorders>
            <w:shd w:val="clear" w:color="auto" w:fill="auto"/>
            <w:vAlign w:val="center"/>
            <w:hideMark/>
          </w:tcPr>
          <w:p w14:paraId="304011C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Consumer Electronics</w:t>
            </w:r>
          </w:p>
        </w:tc>
        <w:tc>
          <w:tcPr>
            <w:tcW w:w="0" w:type="auto"/>
            <w:tcBorders>
              <w:top w:val="nil"/>
              <w:left w:val="nil"/>
              <w:bottom w:val="single" w:sz="4" w:space="0" w:color="auto"/>
              <w:right w:val="single" w:sz="4" w:space="0" w:color="auto"/>
            </w:tcBorders>
            <w:shd w:val="clear" w:color="auto" w:fill="auto"/>
            <w:vAlign w:val="center"/>
            <w:hideMark/>
          </w:tcPr>
          <w:p w14:paraId="24F7355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interaction technologies for electronics, auto and home</w:t>
            </w:r>
          </w:p>
        </w:tc>
        <w:tc>
          <w:tcPr>
            <w:tcW w:w="1321" w:type="dxa"/>
            <w:tcBorders>
              <w:top w:val="nil"/>
              <w:left w:val="nil"/>
              <w:bottom w:val="single" w:sz="4" w:space="0" w:color="auto"/>
              <w:right w:val="single" w:sz="4" w:space="0" w:color="auto"/>
            </w:tcBorders>
            <w:shd w:val="clear" w:color="auto" w:fill="auto"/>
            <w:noWrap/>
            <w:vAlign w:val="center"/>
            <w:hideMark/>
          </w:tcPr>
          <w:p w14:paraId="3AC73FD3"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Affiliated</w:t>
            </w:r>
          </w:p>
        </w:tc>
      </w:tr>
      <w:tr w:rsidR="002D6049" w:rsidRPr="002D6049" w14:paraId="1016B559" w14:textId="77777777" w:rsidTr="002D6049">
        <w:trPr>
          <w:trHeight w:hRule="exact" w:val="1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B2D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Lean&amp;Zoom, LLC</w:t>
            </w:r>
          </w:p>
        </w:tc>
        <w:tc>
          <w:tcPr>
            <w:tcW w:w="0" w:type="auto"/>
            <w:tcBorders>
              <w:top w:val="nil"/>
              <w:left w:val="nil"/>
              <w:bottom w:val="single" w:sz="4" w:space="0" w:color="auto"/>
              <w:right w:val="single" w:sz="4" w:space="0" w:color="auto"/>
            </w:tcBorders>
            <w:shd w:val="clear" w:color="auto" w:fill="auto"/>
            <w:vAlign w:val="center"/>
            <w:hideMark/>
          </w:tcPr>
          <w:p w14:paraId="63E3E0B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09/27/10</w:t>
            </w:r>
          </w:p>
        </w:tc>
        <w:tc>
          <w:tcPr>
            <w:tcW w:w="0" w:type="auto"/>
            <w:tcBorders>
              <w:top w:val="nil"/>
              <w:left w:val="nil"/>
              <w:bottom w:val="single" w:sz="4" w:space="0" w:color="auto"/>
              <w:right w:val="single" w:sz="4" w:space="0" w:color="auto"/>
            </w:tcBorders>
            <w:shd w:val="clear" w:color="auto" w:fill="auto"/>
            <w:noWrap/>
            <w:vAlign w:val="center"/>
            <w:hideMark/>
          </w:tcPr>
          <w:p w14:paraId="382FAB4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17CBDAB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sought angel/VC funding</w:t>
            </w:r>
          </w:p>
        </w:tc>
        <w:tc>
          <w:tcPr>
            <w:tcW w:w="1780" w:type="dxa"/>
            <w:tcBorders>
              <w:top w:val="nil"/>
              <w:left w:val="nil"/>
              <w:bottom w:val="single" w:sz="4" w:space="0" w:color="auto"/>
              <w:right w:val="single" w:sz="4" w:space="0" w:color="auto"/>
            </w:tcBorders>
            <w:shd w:val="clear" w:color="auto" w:fill="auto"/>
            <w:vAlign w:val="center"/>
            <w:hideMark/>
          </w:tcPr>
          <w:p w14:paraId="0291FF8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Consumer Electronics, Assistive Technology</w:t>
            </w:r>
          </w:p>
        </w:tc>
        <w:tc>
          <w:tcPr>
            <w:tcW w:w="0" w:type="auto"/>
            <w:tcBorders>
              <w:top w:val="nil"/>
              <w:left w:val="nil"/>
              <w:bottom w:val="single" w:sz="4" w:space="0" w:color="auto"/>
              <w:right w:val="single" w:sz="4" w:space="0" w:color="auto"/>
            </w:tcBorders>
            <w:shd w:val="clear" w:color="auto" w:fill="auto"/>
            <w:vAlign w:val="center"/>
            <w:hideMark/>
          </w:tcPr>
          <w:p w14:paraId="360503E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automatic screen magnification</w:t>
            </w:r>
          </w:p>
        </w:tc>
        <w:tc>
          <w:tcPr>
            <w:tcW w:w="1321" w:type="dxa"/>
            <w:tcBorders>
              <w:top w:val="nil"/>
              <w:left w:val="nil"/>
              <w:bottom w:val="single" w:sz="4" w:space="0" w:color="auto"/>
              <w:right w:val="single" w:sz="4" w:space="0" w:color="auto"/>
            </w:tcBorders>
            <w:shd w:val="clear" w:color="auto" w:fill="auto"/>
            <w:noWrap/>
            <w:vAlign w:val="center"/>
            <w:hideMark/>
          </w:tcPr>
          <w:p w14:paraId="7974C78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Affiliated</w:t>
            </w:r>
          </w:p>
        </w:tc>
      </w:tr>
      <w:tr w:rsidR="002D6049" w:rsidRPr="002D6049" w14:paraId="2A5B62A0" w14:textId="77777777" w:rsidTr="002D6049">
        <w:trPr>
          <w:trHeight w:hRule="exac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7D931"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VibeAttire, Inc</w:t>
            </w:r>
          </w:p>
        </w:tc>
        <w:tc>
          <w:tcPr>
            <w:tcW w:w="0" w:type="auto"/>
            <w:tcBorders>
              <w:top w:val="nil"/>
              <w:left w:val="nil"/>
              <w:bottom w:val="single" w:sz="4" w:space="0" w:color="auto"/>
              <w:right w:val="single" w:sz="4" w:space="0" w:color="auto"/>
            </w:tcBorders>
            <w:shd w:val="clear" w:color="auto" w:fill="auto"/>
            <w:noWrap/>
            <w:vAlign w:val="center"/>
            <w:hideMark/>
          </w:tcPr>
          <w:p w14:paraId="4394200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08/12/09</w:t>
            </w:r>
          </w:p>
        </w:tc>
        <w:tc>
          <w:tcPr>
            <w:tcW w:w="0" w:type="auto"/>
            <w:tcBorders>
              <w:top w:val="nil"/>
              <w:left w:val="nil"/>
              <w:bottom w:val="single" w:sz="4" w:space="0" w:color="auto"/>
              <w:right w:val="single" w:sz="4" w:space="0" w:color="auto"/>
            </w:tcBorders>
            <w:shd w:val="clear" w:color="auto" w:fill="auto"/>
            <w:noWrap/>
            <w:vAlign w:val="center"/>
            <w:hideMark/>
          </w:tcPr>
          <w:p w14:paraId="249E0769"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5D8F1093"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sought angel/VC funding</w:t>
            </w:r>
          </w:p>
        </w:tc>
        <w:tc>
          <w:tcPr>
            <w:tcW w:w="1780" w:type="dxa"/>
            <w:tcBorders>
              <w:top w:val="nil"/>
              <w:left w:val="nil"/>
              <w:bottom w:val="single" w:sz="4" w:space="0" w:color="auto"/>
              <w:right w:val="single" w:sz="4" w:space="0" w:color="auto"/>
            </w:tcBorders>
            <w:shd w:val="clear" w:color="auto" w:fill="auto"/>
            <w:vAlign w:val="center"/>
            <w:hideMark/>
          </w:tcPr>
          <w:p w14:paraId="547BB18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Music, Gaming</w:t>
            </w:r>
          </w:p>
        </w:tc>
        <w:tc>
          <w:tcPr>
            <w:tcW w:w="0" w:type="auto"/>
            <w:tcBorders>
              <w:top w:val="nil"/>
              <w:left w:val="nil"/>
              <w:bottom w:val="single" w:sz="4" w:space="0" w:color="auto"/>
              <w:right w:val="single" w:sz="4" w:space="0" w:color="auto"/>
            </w:tcBorders>
            <w:shd w:val="clear" w:color="auto" w:fill="auto"/>
            <w:vAlign w:val="center"/>
            <w:hideMark/>
          </w:tcPr>
          <w:p w14:paraId="2856E8A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vibro-tactile clothing</w:t>
            </w:r>
          </w:p>
        </w:tc>
        <w:tc>
          <w:tcPr>
            <w:tcW w:w="1321" w:type="dxa"/>
            <w:tcBorders>
              <w:top w:val="nil"/>
              <w:left w:val="nil"/>
              <w:bottom w:val="single" w:sz="4" w:space="0" w:color="auto"/>
              <w:right w:val="single" w:sz="4" w:space="0" w:color="auto"/>
            </w:tcBorders>
            <w:shd w:val="clear" w:color="auto" w:fill="auto"/>
            <w:noWrap/>
            <w:vAlign w:val="center"/>
            <w:hideMark/>
          </w:tcPr>
          <w:p w14:paraId="2929241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Affiliated</w:t>
            </w:r>
          </w:p>
        </w:tc>
      </w:tr>
      <w:tr w:rsidR="002D6049" w:rsidRPr="002D6049" w14:paraId="0D073053" w14:textId="77777777" w:rsidTr="002D6049">
        <w:trPr>
          <w:trHeight w:hRule="exact" w:val="5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351C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Roll Geek, LLC</w:t>
            </w:r>
          </w:p>
        </w:tc>
        <w:tc>
          <w:tcPr>
            <w:tcW w:w="0" w:type="auto"/>
            <w:tcBorders>
              <w:top w:val="nil"/>
              <w:left w:val="nil"/>
              <w:bottom w:val="single" w:sz="4" w:space="0" w:color="auto"/>
              <w:right w:val="single" w:sz="4" w:space="0" w:color="auto"/>
            </w:tcBorders>
            <w:shd w:val="clear" w:color="auto" w:fill="auto"/>
            <w:vAlign w:val="center"/>
            <w:hideMark/>
          </w:tcPr>
          <w:p w14:paraId="41C59F0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01/31/10</w:t>
            </w:r>
          </w:p>
        </w:tc>
        <w:tc>
          <w:tcPr>
            <w:tcW w:w="0" w:type="auto"/>
            <w:tcBorders>
              <w:top w:val="nil"/>
              <w:left w:val="nil"/>
              <w:bottom w:val="single" w:sz="4" w:space="0" w:color="auto"/>
              <w:right w:val="single" w:sz="4" w:space="0" w:color="auto"/>
            </w:tcBorders>
            <w:shd w:val="clear" w:color="auto" w:fill="auto"/>
            <w:noWrap/>
            <w:vAlign w:val="center"/>
            <w:hideMark/>
          </w:tcPr>
          <w:p w14:paraId="5572B7E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2D068D3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actively seeking</w:t>
            </w:r>
          </w:p>
        </w:tc>
        <w:tc>
          <w:tcPr>
            <w:tcW w:w="1780" w:type="dxa"/>
            <w:tcBorders>
              <w:top w:val="nil"/>
              <w:left w:val="nil"/>
              <w:bottom w:val="single" w:sz="4" w:space="0" w:color="auto"/>
              <w:right w:val="single" w:sz="4" w:space="0" w:color="auto"/>
            </w:tcBorders>
            <w:shd w:val="clear" w:color="auto" w:fill="auto"/>
            <w:vAlign w:val="center"/>
            <w:hideMark/>
          </w:tcPr>
          <w:p w14:paraId="6F63239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Assistive Technology</w:t>
            </w:r>
          </w:p>
        </w:tc>
        <w:tc>
          <w:tcPr>
            <w:tcW w:w="0" w:type="auto"/>
            <w:tcBorders>
              <w:top w:val="nil"/>
              <w:left w:val="nil"/>
              <w:bottom w:val="single" w:sz="4" w:space="0" w:color="auto"/>
              <w:right w:val="single" w:sz="4" w:space="0" w:color="auto"/>
            </w:tcBorders>
            <w:shd w:val="clear" w:color="auto" w:fill="auto"/>
            <w:vAlign w:val="center"/>
            <w:hideMark/>
          </w:tcPr>
          <w:p w14:paraId="4959E1D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ergonomic joystick</w:t>
            </w:r>
          </w:p>
        </w:tc>
        <w:tc>
          <w:tcPr>
            <w:tcW w:w="1321" w:type="dxa"/>
            <w:tcBorders>
              <w:top w:val="nil"/>
              <w:left w:val="nil"/>
              <w:bottom w:val="single" w:sz="4" w:space="0" w:color="auto"/>
              <w:right w:val="single" w:sz="4" w:space="0" w:color="auto"/>
            </w:tcBorders>
            <w:shd w:val="clear" w:color="auto" w:fill="auto"/>
            <w:noWrap/>
            <w:vAlign w:val="center"/>
            <w:hideMark/>
          </w:tcPr>
          <w:p w14:paraId="183A3B7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Associated</w:t>
            </w:r>
          </w:p>
        </w:tc>
      </w:tr>
      <w:tr w:rsidR="002D6049" w:rsidRPr="002D6049" w14:paraId="245AA150" w14:textId="77777777" w:rsidTr="002D6049">
        <w:trPr>
          <w:trHeight w:hRule="exact" w:val="62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5A48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Dupr, LLC</w:t>
            </w:r>
          </w:p>
        </w:tc>
        <w:tc>
          <w:tcPr>
            <w:tcW w:w="0" w:type="auto"/>
            <w:tcBorders>
              <w:top w:val="nil"/>
              <w:left w:val="nil"/>
              <w:bottom w:val="single" w:sz="4" w:space="0" w:color="auto"/>
              <w:right w:val="single" w:sz="4" w:space="0" w:color="auto"/>
            </w:tcBorders>
            <w:shd w:val="clear" w:color="auto" w:fill="auto"/>
            <w:vAlign w:val="center"/>
            <w:hideMark/>
          </w:tcPr>
          <w:p w14:paraId="0A16FBF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06/30/12</w:t>
            </w:r>
          </w:p>
        </w:tc>
        <w:tc>
          <w:tcPr>
            <w:tcW w:w="0" w:type="auto"/>
            <w:tcBorders>
              <w:top w:val="nil"/>
              <w:left w:val="nil"/>
              <w:bottom w:val="single" w:sz="4" w:space="0" w:color="auto"/>
              <w:right w:val="single" w:sz="4" w:space="0" w:color="auto"/>
            </w:tcBorders>
            <w:shd w:val="clear" w:color="auto" w:fill="auto"/>
            <w:noWrap/>
            <w:vAlign w:val="center"/>
            <w:hideMark/>
          </w:tcPr>
          <w:p w14:paraId="2ECBCE93"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5BC0B39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sought angel/VC funding</w:t>
            </w:r>
          </w:p>
        </w:tc>
        <w:tc>
          <w:tcPr>
            <w:tcW w:w="1780" w:type="dxa"/>
            <w:tcBorders>
              <w:top w:val="nil"/>
              <w:left w:val="nil"/>
              <w:bottom w:val="single" w:sz="4" w:space="0" w:color="auto"/>
              <w:right w:val="single" w:sz="4" w:space="0" w:color="auto"/>
            </w:tcBorders>
            <w:shd w:val="clear" w:color="auto" w:fill="auto"/>
            <w:vAlign w:val="center"/>
            <w:hideMark/>
          </w:tcPr>
          <w:p w14:paraId="0AB5BD89"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Business Electronics</w:t>
            </w:r>
          </w:p>
        </w:tc>
        <w:tc>
          <w:tcPr>
            <w:tcW w:w="0" w:type="auto"/>
            <w:tcBorders>
              <w:top w:val="nil"/>
              <w:left w:val="nil"/>
              <w:bottom w:val="single" w:sz="4" w:space="0" w:color="auto"/>
              <w:right w:val="single" w:sz="4" w:space="0" w:color="auto"/>
            </w:tcBorders>
            <w:shd w:val="clear" w:color="auto" w:fill="auto"/>
            <w:vAlign w:val="center"/>
            <w:hideMark/>
          </w:tcPr>
          <w:p w14:paraId="7934EDE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3D video conference system</w:t>
            </w:r>
          </w:p>
        </w:tc>
        <w:tc>
          <w:tcPr>
            <w:tcW w:w="1321" w:type="dxa"/>
            <w:tcBorders>
              <w:top w:val="nil"/>
              <w:left w:val="nil"/>
              <w:bottom w:val="single" w:sz="4" w:space="0" w:color="auto"/>
              <w:right w:val="single" w:sz="4" w:space="0" w:color="auto"/>
            </w:tcBorders>
            <w:shd w:val="clear" w:color="auto" w:fill="auto"/>
            <w:noWrap/>
            <w:vAlign w:val="center"/>
            <w:hideMark/>
          </w:tcPr>
          <w:p w14:paraId="7E97E5D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Affiliated</w:t>
            </w:r>
          </w:p>
        </w:tc>
      </w:tr>
      <w:tr w:rsidR="002D6049" w:rsidRPr="002D6049" w14:paraId="7AB6E1ED" w14:textId="77777777" w:rsidTr="002D6049">
        <w:trPr>
          <w:trHeight w:hRule="exac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B32E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Tiramisu Transit, LLC</w:t>
            </w:r>
          </w:p>
        </w:tc>
        <w:tc>
          <w:tcPr>
            <w:tcW w:w="0" w:type="auto"/>
            <w:tcBorders>
              <w:top w:val="nil"/>
              <w:left w:val="nil"/>
              <w:bottom w:val="nil"/>
              <w:right w:val="nil"/>
            </w:tcBorders>
            <w:shd w:val="clear" w:color="auto" w:fill="auto"/>
            <w:vAlign w:val="center"/>
            <w:hideMark/>
          </w:tcPr>
          <w:p w14:paraId="310DCF7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11/12/10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DF85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538D7DE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SBIR</w:t>
            </w:r>
          </w:p>
        </w:tc>
        <w:tc>
          <w:tcPr>
            <w:tcW w:w="1780" w:type="dxa"/>
            <w:tcBorders>
              <w:top w:val="nil"/>
              <w:left w:val="nil"/>
              <w:bottom w:val="single" w:sz="4" w:space="0" w:color="auto"/>
              <w:right w:val="single" w:sz="4" w:space="0" w:color="auto"/>
            </w:tcBorders>
            <w:shd w:val="clear" w:color="auto" w:fill="auto"/>
            <w:vAlign w:val="center"/>
            <w:hideMark/>
          </w:tcPr>
          <w:p w14:paraId="762394ED"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Public Transportation</w:t>
            </w:r>
          </w:p>
        </w:tc>
        <w:tc>
          <w:tcPr>
            <w:tcW w:w="0" w:type="auto"/>
            <w:tcBorders>
              <w:top w:val="nil"/>
              <w:left w:val="nil"/>
              <w:bottom w:val="single" w:sz="4" w:space="0" w:color="auto"/>
              <w:right w:val="single" w:sz="4" w:space="0" w:color="auto"/>
            </w:tcBorders>
            <w:shd w:val="clear" w:color="auto" w:fill="auto"/>
            <w:vAlign w:val="center"/>
            <w:hideMark/>
          </w:tcPr>
          <w:p w14:paraId="4E15470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real-time bus tracking crowdsourcing application</w:t>
            </w:r>
          </w:p>
        </w:tc>
        <w:tc>
          <w:tcPr>
            <w:tcW w:w="1321" w:type="dxa"/>
            <w:tcBorders>
              <w:top w:val="nil"/>
              <w:left w:val="nil"/>
              <w:bottom w:val="single" w:sz="4" w:space="0" w:color="auto"/>
              <w:right w:val="single" w:sz="4" w:space="0" w:color="auto"/>
            </w:tcBorders>
            <w:shd w:val="clear" w:color="auto" w:fill="auto"/>
            <w:noWrap/>
            <w:vAlign w:val="center"/>
            <w:hideMark/>
          </w:tcPr>
          <w:p w14:paraId="2152A5F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Associated</w:t>
            </w:r>
          </w:p>
        </w:tc>
      </w:tr>
      <w:tr w:rsidR="002D6049" w:rsidRPr="002D6049" w14:paraId="381A796C" w14:textId="77777777" w:rsidTr="002D6049">
        <w:trPr>
          <w:trHeight w:hRule="exac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64D7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NavPrescience, Inc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5A3C4"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05/27/09</w:t>
            </w:r>
          </w:p>
        </w:tc>
        <w:tc>
          <w:tcPr>
            <w:tcW w:w="0" w:type="auto"/>
            <w:tcBorders>
              <w:top w:val="nil"/>
              <w:left w:val="nil"/>
              <w:bottom w:val="single" w:sz="4" w:space="0" w:color="auto"/>
              <w:right w:val="single" w:sz="4" w:space="0" w:color="auto"/>
            </w:tcBorders>
            <w:shd w:val="clear" w:color="auto" w:fill="auto"/>
            <w:noWrap/>
            <w:vAlign w:val="center"/>
            <w:hideMark/>
          </w:tcPr>
          <w:p w14:paraId="37F88D7D"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5558D4D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seed grant from local TBEDO</w:t>
            </w:r>
          </w:p>
        </w:tc>
        <w:tc>
          <w:tcPr>
            <w:tcW w:w="1780" w:type="dxa"/>
            <w:tcBorders>
              <w:top w:val="nil"/>
              <w:left w:val="nil"/>
              <w:bottom w:val="single" w:sz="4" w:space="0" w:color="auto"/>
              <w:right w:val="single" w:sz="4" w:space="0" w:color="auto"/>
            </w:tcBorders>
            <w:shd w:val="clear" w:color="auto" w:fill="auto"/>
            <w:vAlign w:val="center"/>
            <w:hideMark/>
          </w:tcPr>
          <w:p w14:paraId="4BEA338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Personal Navigation</w:t>
            </w:r>
          </w:p>
        </w:tc>
        <w:tc>
          <w:tcPr>
            <w:tcW w:w="0" w:type="auto"/>
            <w:tcBorders>
              <w:top w:val="nil"/>
              <w:left w:val="nil"/>
              <w:bottom w:val="single" w:sz="4" w:space="0" w:color="auto"/>
              <w:right w:val="single" w:sz="4" w:space="0" w:color="auto"/>
            </w:tcBorders>
            <w:shd w:val="clear" w:color="auto" w:fill="auto"/>
            <w:vAlign w:val="center"/>
            <w:hideMark/>
          </w:tcPr>
          <w:p w14:paraId="72C8238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predictive GPS navigation</w:t>
            </w:r>
          </w:p>
        </w:tc>
        <w:tc>
          <w:tcPr>
            <w:tcW w:w="1321" w:type="dxa"/>
            <w:tcBorders>
              <w:top w:val="nil"/>
              <w:left w:val="nil"/>
              <w:bottom w:val="single" w:sz="4" w:space="0" w:color="auto"/>
              <w:right w:val="single" w:sz="4" w:space="0" w:color="auto"/>
            </w:tcBorders>
            <w:shd w:val="clear" w:color="auto" w:fill="auto"/>
            <w:noWrap/>
            <w:vAlign w:val="center"/>
            <w:hideMark/>
          </w:tcPr>
          <w:p w14:paraId="0306D4B3"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Core</w:t>
            </w:r>
          </w:p>
        </w:tc>
      </w:tr>
      <w:tr w:rsidR="002D6049" w:rsidRPr="002D6049" w14:paraId="4F301D79" w14:textId="77777777" w:rsidTr="002D6049">
        <w:trPr>
          <w:trHeight w:hRule="exact" w:val="4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B0E60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First Person Vision, LLC</w:t>
            </w:r>
          </w:p>
        </w:tc>
        <w:tc>
          <w:tcPr>
            <w:tcW w:w="0" w:type="auto"/>
            <w:tcBorders>
              <w:top w:val="nil"/>
              <w:left w:val="nil"/>
              <w:bottom w:val="single" w:sz="4" w:space="0" w:color="auto"/>
              <w:right w:val="single" w:sz="4" w:space="0" w:color="auto"/>
            </w:tcBorders>
            <w:shd w:val="clear" w:color="auto" w:fill="auto"/>
            <w:vAlign w:val="center"/>
            <w:hideMark/>
          </w:tcPr>
          <w:p w14:paraId="1F75511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06/07/10</w:t>
            </w:r>
          </w:p>
        </w:tc>
        <w:tc>
          <w:tcPr>
            <w:tcW w:w="0" w:type="auto"/>
            <w:tcBorders>
              <w:top w:val="nil"/>
              <w:left w:val="nil"/>
              <w:bottom w:val="single" w:sz="4" w:space="0" w:color="auto"/>
              <w:right w:val="single" w:sz="4" w:space="0" w:color="auto"/>
            </w:tcBorders>
            <w:shd w:val="clear" w:color="auto" w:fill="auto"/>
            <w:noWrap/>
            <w:vAlign w:val="center"/>
            <w:hideMark/>
          </w:tcPr>
          <w:p w14:paraId="72B4C22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1B8A755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angel investors</w:t>
            </w:r>
          </w:p>
        </w:tc>
        <w:tc>
          <w:tcPr>
            <w:tcW w:w="1780" w:type="dxa"/>
            <w:tcBorders>
              <w:top w:val="nil"/>
              <w:left w:val="nil"/>
              <w:bottom w:val="single" w:sz="4" w:space="0" w:color="auto"/>
              <w:right w:val="single" w:sz="4" w:space="0" w:color="auto"/>
            </w:tcBorders>
            <w:shd w:val="clear" w:color="auto" w:fill="auto"/>
            <w:vAlign w:val="center"/>
            <w:hideMark/>
          </w:tcPr>
          <w:p w14:paraId="29C3822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Sports Media</w:t>
            </w:r>
          </w:p>
        </w:tc>
        <w:tc>
          <w:tcPr>
            <w:tcW w:w="0" w:type="auto"/>
            <w:tcBorders>
              <w:top w:val="nil"/>
              <w:left w:val="nil"/>
              <w:bottom w:val="single" w:sz="4" w:space="0" w:color="auto"/>
              <w:right w:val="single" w:sz="4" w:space="0" w:color="auto"/>
            </w:tcBorders>
            <w:shd w:val="clear" w:color="auto" w:fill="auto"/>
            <w:vAlign w:val="center"/>
            <w:hideMark/>
          </w:tcPr>
          <w:p w14:paraId="4C6541A6"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First-Person Vision</w:t>
            </w:r>
          </w:p>
        </w:tc>
        <w:tc>
          <w:tcPr>
            <w:tcW w:w="1321" w:type="dxa"/>
            <w:tcBorders>
              <w:top w:val="nil"/>
              <w:left w:val="nil"/>
              <w:bottom w:val="single" w:sz="4" w:space="0" w:color="auto"/>
              <w:right w:val="single" w:sz="4" w:space="0" w:color="auto"/>
            </w:tcBorders>
            <w:shd w:val="clear" w:color="auto" w:fill="auto"/>
            <w:noWrap/>
            <w:vAlign w:val="center"/>
            <w:hideMark/>
          </w:tcPr>
          <w:p w14:paraId="63946694"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Core</w:t>
            </w:r>
          </w:p>
        </w:tc>
      </w:tr>
      <w:tr w:rsidR="002D6049" w:rsidRPr="002D6049" w14:paraId="138063AE" w14:textId="77777777" w:rsidTr="002D6049">
        <w:trPr>
          <w:trHeight w:hRule="exact" w:val="1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77F6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PHRQL</w:t>
            </w:r>
          </w:p>
        </w:tc>
        <w:tc>
          <w:tcPr>
            <w:tcW w:w="0" w:type="auto"/>
            <w:tcBorders>
              <w:top w:val="nil"/>
              <w:left w:val="nil"/>
              <w:bottom w:val="single" w:sz="4" w:space="0" w:color="auto"/>
              <w:right w:val="single" w:sz="4" w:space="0" w:color="auto"/>
            </w:tcBorders>
            <w:shd w:val="clear" w:color="auto" w:fill="auto"/>
            <w:vAlign w:val="center"/>
            <w:hideMark/>
          </w:tcPr>
          <w:p w14:paraId="630F611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12/30/11</w:t>
            </w:r>
          </w:p>
        </w:tc>
        <w:tc>
          <w:tcPr>
            <w:tcW w:w="0" w:type="auto"/>
            <w:tcBorders>
              <w:top w:val="nil"/>
              <w:left w:val="nil"/>
              <w:bottom w:val="single" w:sz="4" w:space="0" w:color="auto"/>
              <w:right w:val="single" w:sz="4" w:space="0" w:color="auto"/>
            </w:tcBorders>
            <w:shd w:val="clear" w:color="auto" w:fill="auto"/>
            <w:noWrap/>
            <w:vAlign w:val="center"/>
            <w:hideMark/>
          </w:tcPr>
          <w:p w14:paraId="600CA4E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601FA4FC"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seed grants from local TBEDOs; angel investors</w:t>
            </w:r>
          </w:p>
        </w:tc>
        <w:tc>
          <w:tcPr>
            <w:tcW w:w="1780" w:type="dxa"/>
            <w:tcBorders>
              <w:top w:val="nil"/>
              <w:left w:val="nil"/>
              <w:bottom w:val="single" w:sz="4" w:space="0" w:color="auto"/>
              <w:right w:val="single" w:sz="4" w:space="0" w:color="auto"/>
            </w:tcBorders>
            <w:shd w:val="clear" w:color="auto" w:fill="auto"/>
            <w:vAlign w:val="center"/>
            <w:hideMark/>
          </w:tcPr>
          <w:p w14:paraId="39093AA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Healthcare</w:t>
            </w:r>
          </w:p>
        </w:tc>
        <w:tc>
          <w:tcPr>
            <w:tcW w:w="0" w:type="auto"/>
            <w:tcBorders>
              <w:top w:val="nil"/>
              <w:left w:val="nil"/>
              <w:bottom w:val="single" w:sz="4" w:space="0" w:color="auto"/>
              <w:right w:val="single" w:sz="4" w:space="0" w:color="auto"/>
            </w:tcBorders>
            <w:shd w:val="clear" w:color="auto" w:fill="auto"/>
            <w:vAlign w:val="center"/>
            <w:hideMark/>
          </w:tcPr>
          <w:p w14:paraId="321CE49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nutrition monitoring and recommendation</w:t>
            </w:r>
          </w:p>
        </w:tc>
        <w:tc>
          <w:tcPr>
            <w:tcW w:w="1321" w:type="dxa"/>
            <w:tcBorders>
              <w:top w:val="nil"/>
              <w:left w:val="nil"/>
              <w:bottom w:val="single" w:sz="4" w:space="0" w:color="auto"/>
              <w:right w:val="single" w:sz="4" w:space="0" w:color="auto"/>
            </w:tcBorders>
            <w:shd w:val="clear" w:color="auto" w:fill="auto"/>
            <w:noWrap/>
            <w:vAlign w:val="center"/>
            <w:hideMark/>
          </w:tcPr>
          <w:p w14:paraId="197AB50D"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Associated</w:t>
            </w:r>
          </w:p>
        </w:tc>
      </w:tr>
      <w:tr w:rsidR="002D6049" w:rsidRPr="002D6049" w14:paraId="1D8B8301" w14:textId="77777777" w:rsidTr="002D6049">
        <w:trPr>
          <w:trHeight w:hRule="exac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7CC74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Lyftu, LLC</w:t>
            </w:r>
          </w:p>
        </w:tc>
        <w:tc>
          <w:tcPr>
            <w:tcW w:w="0" w:type="auto"/>
            <w:tcBorders>
              <w:top w:val="nil"/>
              <w:left w:val="nil"/>
              <w:bottom w:val="single" w:sz="4" w:space="0" w:color="auto"/>
              <w:right w:val="single" w:sz="4" w:space="0" w:color="auto"/>
            </w:tcBorders>
            <w:shd w:val="clear" w:color="auto" w:fill="auto"/>
            <w:vAlign w:val="center"/>
            <w:hideMark/>
          </w:tcPr>
          <w:p w14:paraId="30F5CA0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02/29/12</w:t>
            </w:r>
          </w:p>
        </w:tc>
        <w:tc>
          <w:tcPr>
            <w:tcW w:w="0" w:type="auto"/>
            <w:tcBorders>
              <w:top w:val="nil"/>
              <w:left w:val="nil"/>
              <w:bottom w:val="single" w:sz="4" w:space="0" w:color="auto"/>
              <w:right w:val="single" w:sz="4" w:space="0" w:color="auto"/>
            </w:tcBorders>
            <w:shd w:val="clear" w:color="auto" w:fill="auto"/>
            <w:noWrap/>
            <w:vAlign w:val="center"/>
            <w:hideMark/>
          </w:tcPr>
          <w:p w14:paraId="60555E11"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Dormant</w:t>
            </w:r>
          </w:p>
        </w:tc>
        <w:tc>
          <w:tcPr>
            <w:tcW w:w="1261" w:type="dxa"/>
            <w:tcBorders>
              <w:top w:val="nil"/>
              <w:left w:val="nil"/>
              <w:bottom w:val="single" w:sz="4" w:space="0" w:color="auto"/>
              <w:right w:val="single" w:sz="4" w:space="0" w:color="auto"/>
            </w:tcBorders>
            <w:shd w:val="clear" w:color="auto" w:fill="auto"/>
            <w:vAlign w:val="center"/>
            <w:hideMark/>
          </w:tcPr>
          <w:p w14:paraId="460689F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Actively seeking</w:t>
            </w:r>
          </w:p>
        </w:tc>
        <w:tc>
          <w:tcPr>
            <w:tcW w:w="1780" w:type="dxa"/>
            <w:tcBorders>
              <w:top w:val="nil"/>
              <w:left w:val="nil"/>
              <w:bottom w:val="single" w:sz="4" w:space="0" w:color="auto"/>
              <w:right w:val="single" w:sz="4" w:space="0" w:color="auto"/>
            </w:tcBorders>
            <w:shd w:val="clear" w:color="auto" w:fill="auto"/>
            <w:vAlign w:val="center"/>
            <w:hideMark/>
          </w:tcPr>
          <w:p w14:paraId="03E8AA9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Assistive Technology</w:t>
            </w:r>
          </w:p>
        </w:tc>
        <w:tc>
          <w:tcPr>
            <w:tcW w:w="0" w:type="auto"/>
            <w:tcBorders>
              <w:top w:val="nil"/>
              <w:left w:val="nil"/>
              <w:bottom w:val="single" w:sz="4" w:space="0" w:color="auto"/>
              <w:right w:val="single" w:sz="4" w:space="0" w:color="auto"/>
            </w:tcBorders>
            <w:shd w:val="clear" w:color="auto" w:fill="auto"/>
            <w:vAlign w:val="center"/>
            <w:hideMark/>
          </w:tcPr>
          <w:p w14:paraId="0FE644F8"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device for seating and standing assistance</w:t>
            </w:r>
          </w:p>
        </w:tc>
        <w:tc>
          <w:tcPr>
            <w:tcW w:w="1321" w:type="dxa"/>
            <w:tcBorders>
              <w:top w:val="nil"/>
              <w:left w:val="nil"/>
              <w:bottom w:val="single" w:sz="4" w:space="0" w:color="auto"/>
              <w:right w:val="single" w:sz="4" w:space="0" w:color="auto"/>
            </w:tcBorders>
            <w:shd w:val="clear" w:color="auto" w:fill="auto"/>
            <w:noWrap/>
            <w:vAlign w:val="center"/>
            <w:hideMark/>
          </w:tcPr>
          <w:p w14:paraId="0FF0A23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Associated</w:t>
            </w:r>
          </w:p>
        </w:tc>
      </w:tr>
      <w:tr w:rsidR="002D6049" w:rsidRPr="002D6049" w14:paraId="0BB3C516" w14:textId="77777777" w:rsidTr="002D6049">
        <w:trPr>
          <w:trHeight w:hRule="exact" w:val="6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D763D"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Origami Robotics, Inc.</w:t>
            </w:r>
          </w:p>
        </w:tc>
        <w:tc>
          <w:tcPr>
            <w:tcW w:w="0" w:type="auto"/>
            <w:tcBorders>
              <w:top w:val="nil"/>
              <w:left w:val="nil"/>
              <w:bottom w:val="single" w:sz="4" w:space="0" w:color="auto"/>
              <w:right w:val="single" w:sz="4" w:space="0" w:color="auto"/>
            </w:tcBorders>
            <w:shd w:val="clear" w:color="auto" w:fill="auto"/>
            <w:vAlign w:val="center"/>
            <w:hideMark/>
          </w:tcPr>
          <w:p w14:paraId="471DB07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11/14/11</w:t>
            </w:r>
          </w:p>
        </w:tc>
        <w:tc>
          <w:tcPr>
            <w:tcW w:w="0" w:type="auto"/>
            <w:tcBorders>
              <w:top w:val="nil"/>
              <w:left w:val="nil"/>
              <w:bottom w:val="single" w:sz="4" w:space="0" w:color="auto"/>
              <w:right w:val="single" w:sz="4" w:space="0" w:color="auto"/>
            </w:tcBorders>
            <w:shd w:val="clear" w:color="auto" w:fill="auto"/>
            <w:noWrap/>
            <w:vAlign w:val="center"/>
            <w:hideMark/>
          </w:tcPr>
          <w:p w14:paraId="5907A8C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15E3F66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2nd place in 2011 Robobowl</w:t>
            </w:r>
          </w:p>
        </w:tc>
        <w:tc>
          <w:tcPr>
            <w:tcW w:w="1780" w:type="dxa"/>
            <w:tcBorders>
              <w:top w:val="nil"/>
              <w:left w:val="nil"/>
              <w:bottom w:val="single" w:sz="4" w:space="0" w:color="auto"/>
              <w:right w:val="single" w:sz="4" w:space="0" w:color="auto"/>
            </w:tcBorders>
            <w:shd w:val="clear" w:color="auto" w:fill="auto"/>
            <w:vAlign w:val="center"/>
            <w:hideMark/>
          </w:tcPr>
          <w:p w14:paraId="657081CA"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Special Education, Seniorcare</w:t>
            </w:r>
          </w:p>
          <w:p w14:paraId="28302150" w14:textId="77777777" w:rsidR="002D6049" w:rsidRPr="002D6049" w:rsidRDefault="002D6049" w:rsidP="002D6049">
            <w:pPr>
              <w:rPr>
                <w:rFonts w:ascii="Cambria" w:eastAsia="Times New Roman" w:hAnsi="Cambria" w:cs="Times New Roman"/>
              </w:rPr>
            </w:pPr>
          </w:p>
        </w:tc>
        <w:tc>
          <w:tcPr>
            <w:tcW w:w="0" w:type="auto"/>
            <w:tcBorders>
              <w:top w:val="nil"/>
              <w:left w:val="nil"/>
              <w:bottom w:val="single" w:sz="4" w:space="0" w:color="auto"/>
              <w:right w:val="single" w:sz="4" w:space="0" w:color="auto"/>
            </w:tcBorders>
            <w:shd w:val="clear" w:color="auto" w:fill="auto"/>
            <w:vAlign w:val="center"/>
            <w:hideMark/>
          </w:tcPr>
          <w:p w14:paraId="597AC85D"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socially interactive robot</w:t>
            </w:r>
          </w:p>
        </w:tc>
        <w:tc>
          <w:tcPr>
            <w:tcW w:w="1321" w:type="dxa"/>
            <w:tcBorders>
              <w:top w:val="nil"/>
              <w:left w:val="nil"/>
              <w:bottom w:val="single" w:sz="4" w:space="0" w:color="auto"/>
              <w:right w:val="single" w:sz="4" w:space="0" w:color="auto"/>
            </w:tcBorders>
            <w:shd w:val="clear" w:color="auto" w:fill="auto"/>
            <w:noWrap/>
            <w:vAlign w:val="center"/>
            <w:hideMark/>
          </w:tcPr>
          <w:p w14:paraId="56656A81"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Core</w:t>
            </w:r>
          </w:p>
        </w:tc>
      </w:tr>
      <w:tr w:rsidR="002D6049" w:rsidRPr="002D6049" w14:paraId="046CEEA4" w14:textId="77777777" w:rsidTr="002D6049">
        <w:trPr>
          <w:trHeight w:hRule="exac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C97E4"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Rubitection, Inc.</w:t>
            </w:r>
          </w:p>
        </w:tc>
        <w:tc>
          <w:tcPr>
            <w:tcW w:w="0" w:type="auto"/>
            <w:tcBorders>
              <w:top w:val="nil"/>
              <w:left w:val="nil"/>
              <w:bottom w:val="single" w:sz="4" w:space="0" w:color="auto"/>
              <w:right w:val="single" w:sz="4" w:space="0" w:color="auto"/>
            </w:tcBorders>
            <w:shd w:val="clear" w:color="auto" w:fill="auto"/>
            <w:vAlign w:val="center"/>
            <w:hideMark/>
          </w:tcPr>
          <w:p w14:paraId="347BB077"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03/22/10</w:t>
            </w:r>
          </w:p>
        </w:tc>
        <w:tc>
          <w:tcPr>
            <w:tcW w:w="0" w:type="auto"/>
            <w:tcBorders>
              <w:top w:val="nil"/>
              <w:left w:val="nil"/>
              <w:bottom w:val="single" w:sz="4" w:space="0" w:color="auto"/>
              <w:right w:val="single" w:sz="4" w:space="0" w:color="auto"/>
            </w:tcBorders>
            <w:shd w:val="clear" w:color="auto" w:fill="auto"/>
            <w:noWrap/>
            <w:vAlign w:val="center"/>
            <w:hideMark/>
          </w:tcPr>
          <w:p w14:paraId="082D8646"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5584D204"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actively seeking</w:t>
            </w:r>
          </w:p>
        </w:tc>
        <w:tc>
          <w:tcPr>
            <w:tcW w:w="1780" w:type="dxa"/>
            <w:tcBorders>
              <w:top w:val="nil"/>
              <w:left w:val="nil"/>
              <w:bottom w:val="single" w:sz="4" w:space="0" w:color="auto"/>
              <w:right w:val="single" w:sz="4" w:space="0" w:color="auto"/>
            </w:tcBorders>
            <w:shd w:val="clear" w:color="auto" w:fill="auto"/>
            <w:vAlign w:val="center"/>
            <w:hideMark/>
          </w:tcPr>
          <w:p w14:paraId="6379D23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Healthcare, Seniorcare</w:t>
            </w:r>
          </w:p>
        </w:tc>
        <w:tc>
          <w:tcPr>
            <w:tcW w:w="0" w:type="auto"/>
            <w:tcBorders>
              <w:top w:val="nil"/>
              <w:left w:val="nil"/>
              <w:bottom w:val="single" w:sz="4" w:space="0" w:color="auto"/>
              <w:right w:val="single" w:sz="4" w:space="0" w:color="auto"/>
            </w:tcBorders>
            <w:shd w:val="clear" w:color="auto" w:fill="auto"/>
            <w:vAlign w:val="center"/>
            <w:hideMark/>
          </w:tcPr>
          <w:p w14:paraId="5381B3D6"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subcutaneous pressure ulcer detection</w:t>
            </w:r>
          </w:p>
        </w:tc>
        <w:tc>
          <w:tcPr>
            <w:tcW w:w="1321" w:type="dxa"/>
            <w:tcBorders>
              <w:top w:val="nil"/>
              <w:left w:val="nil"/>
              <w:bottom w:val="single" w:sz="4" w:space="0" w:color="auto"/>
              <w:right w:val="single" w:sz="4" w:space="0" w:color="auto"/>
            </w:tcBorders>
            <w:shd w:val="clear" w:color="auto" w:fill="auto"/>
            <w:noWrap/>
            <w:vAlign w:val="center"/>
            <w:hideMark/>
          </w:tcPr>
          <w:p w14:paraId="31DCF342"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Affiliated</w:t>
            </w:r>
          </w:p>
        </w:tc>
      </w:tr>
      <w:tr w:rsidR="002D6049" w:rsidRPr="002D6049" w14:paraId="02EA6FB6" w14:textId="77777777" w:rsidTr="002D6049">
        <w:trPr>
          <w:trHeight w:hRule="exact" w:val="14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BBDE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Navity, LLC</w:t>
            </w:r>
          </w:p>
        </w:tc>
        <w:tc>
          <w:tcPr>
            <w:tcW w:w="0" w:type="auto"/>
            <w:tcBorders>
              <w:top w:val="nil"/>
              <w:left w:val="nil"/>
              <w:bottom w:val="single" w:sz="4" w:space="0" w:color="auto"/>
              <w:right w:val="single" w:sz="4" w:space="0" w:color="auto"/>
            </w:tcBorders>
            <w:shd w:val="clear" w:color="auto" w:fill="auto"/>
            <w:vAlign w:val="center"/>
            <w:hideMark/>
          </w:tcPr>
          <w:p w14:paraId="7780325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in process</w:t>
            </w:r>
          </w:p>
        </w:tc>
        <w:tc>
          <w:tcPr>
            <w:tcW w:w="0" w:type="auto"/>
            <w:tcBorders>
              <w:top w:val="nil"/>
              <w:left w:val="nil"/>
              <w:bottom w:val="single" w:sz="4" w:space="0" w:color="auto"/>
              <w:right w:val="single" w:sz="4" w:space="0" w:color="auto"/>
            </w:tcBorders>
            <w:shd w:val="clear" w:color="auto" w:fill="auto"/>
            <w:noWrap/>
            <w:vAlign w:val="center"/>
            <w:hideMark/>
          </w:tcPr>
          <w:p w14:paraId="0C17DFA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nil"/>
              <w:left w:val="nil"/>
              <w:bottom w:val="single" w:sz="4" w:space="0" w:color="auto"/>
              <w:right w:val="single" w:sz="4" w:space="0" w:color="auto"/>
            </w:tcBorders>
            <w:shd w:val="clear" w:color="auto" w:fill="auto"/>
            <w:vAlign w:val="center"/>
            <w:hideMark/>
          </w:tcPr>
          <w:p w14:paraId="0AEC4F1C"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NSF iCorps; actively seeking</w:t>
            </w:r>
          </w:p>
        </w:tc>
        <w:tc>
          <w:tcPr>
            <w:tcW w:w="1780" w:type="dxa"/>
            <w:tcBorders>
              <w:top w:val="nil"/>
              <w:left w:val="nil"/>
              <w:bottom w:val="single" w:sz="4" w:space="0" w:color="auto"/>
              <w:right w:val="single" w:sz="4" w:space="0" w:color="auto"/>
            </w:tcBorders>
            <w:shd w:val="clear" w:color="auto" w:fill="auto"/>
            <w:vAlign w:val="center"/>
            <w:hideMark/>
          </w:tcPr>
          <w:p w14:paraId="26A38A30"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Healthcare</w:t>
            </w:r>
          </w:p>
        </w:tc>
        <w:tc>
          <w:tcPr>
            <w:tcW w:w="0" w:type="auto"/>
            <w:tcBorders>
              <w:top w:val="nil"/>
              <w:left w:val="nil"/>
              <w:bottom w:val="single" w:sz="4" w:space="0" w:color="auto"/>
              <w:right w:val="single" w:sz="4" w:space="0" w:color="auto"/>
            </w:tcBorders>
            <w:shd w:val="clear" w:color="auto" w:fill="auto"/>
            <w:vAlign w:val="center"/>
            <w:hideMark/>
          </w:tcPr>
          <w:p w14:paraId="6AF922E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semi-automated driver capability assessment</w:t>
            </w:r>
          </w:p>
        </w:tc>
        <w:tc>
          <w:tcPr>
            <w:tcW w:w="1321" w:type="dxa"/>
            <w:tcBorders>
              <w:top w:val="nil"/>
              <w:left w:val="nil"/>
              <w:bottom w:val="single" w:sz="4" w:space="0" w:color="auto"/>
              <w:right w:val="single" w:sz="4" w:space="0" w:color="auto"/>
            </w:tcBorders>
            <w:shd w:val="clear" w:color="auto" w:fill="auto"/>
            <w:noWrap/>
            <w:vAlign w:val="center"/>
            <w:hideMark/>
          </w:tcPr>
          <w:p w14:paraId="72BE204F"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Core</w:t>
            </w:r>
          </w:p>
        </w:tc>
      </w:tr>
      <w:tr w:rsidR="002D6049" w:rsidRPr="002D6049" w14:paraId="2A637338" w14:textId="77777777" w:rsidTr="002D6049">
        <w:trPr>
          <w:trHeight w:hRule="exact" w:val="84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C5A14"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Peekabuy, Inc.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A89D9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03/12/13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3739E"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Active</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5A67373C"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angel investors</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4BED389"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Fashion Retail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60755"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image matching</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33143C8B" w14:textId="77777777" w:rsidR="002D6049" w:rsidRPr="002D6049" w:rsidRDefault="002D6049" w:rsidP="002D6049">
            <w:pPr>
              <w:rPr>
                <w:rFonts w:ascii="Cambria" w:eastAsia="Times New Roman" w:hAnsi="Cambria" w:cs="Times New Roman"/>
              </w:rPr>
            </w:pPr>
            <w:r w:rsidRPr="002D6049">
              <w:rPr>
                <w:rFonts w:ascii="Cambria" w:eastAsia="Times New Roman" w:hAnsi="Cambria" w:cs="Times New Roman"/>
              </w:rPr>
              <w:t>Core</w:t>
            </w:r>
          </w:p>
        </w:tc>
      </w:tr>
    </w:tbl>
    <w:p w14:paraId="13199BD2" w14:textId="77777777" w:rsidR="002D6049" w:rsidRPr="002D6049" w:rsidRDefault="002D6049" w:rsidP="002D6049">
      <w:pPr>
        <w:rPr>
          <w:rFonts w:ascii="Cambria" w:eastAsia="Times New Roman" w:hAnsi="Cambria" w:cs="Times New Roman"/>
        </w:rPr>
      </w:pPr>
    </w:p>
    <w:p w14:paraId="587B87BA" w14:textId="77777777" w:rsidR="002D6049" w:rsidRPr="002D6049" w:rsidRDefault="002D6049" w:rsidP="002D6049">
      <w:pPr>
        <w:tabs>
          <w:tab w:val="left" w:pos="990"/>
        </w:tabs>
        <w:spacing w:line="260" w:lineRule="exact"/>
        <w:outlineLvl w:val="3"/>
        <w:rPr>
          <w:rFonts w:eastAsia="Times New Roman" w:cs="Times New Roman"/>
          <w:i/>
        </w:rPr>
      </w:pPr>
    </w:p>
    <w:p w14:paraId="25555C0B" w14:textId="77777777" w:rsidR="004A19EA" w:rsidRDefault="004A19EA"/>
    <w:sectPr w:rsidR="004A19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6C487" w14:textId="77777777" w:rsidR="00832ACC" w:rsidRDefault="00832ACC" w:rsidP="002D6049">
      <w:pPr>
        <w:spacing w:after="0"/>
      </w:pPr>
      <w:r>
        <w:separator/>
      </w:r>
    </w:p>
  </w:endnote>
  <w:endnote w:type="continuationSeparator" w:id="0">
    <w:p w14:paraId="40C65F6C" w14:textId="77777777" w:rsidR="00832ACC" w:rsidRDefault="00832ACC" w:rsidP="002D6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Optima ExtraBlack">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43F2A" w14:textId="77777777" w:rsidR="00832ACC" w:rsidRDefault="00832ACC" w:rsidP="002D6049">
      <w:pPr>
        <w:spacing w:after="0"/>
      </w:pPr>
      <w:r>
        <w:separator/>
      </w:r>
    </w:p>
  </w:footnote>
  <w:footnote w:type="continuationSeparator" w:id="0">
    <w:p w14:paraId="20A6C6A7" w14:textId="77777777" w:rsidR="00832ACC" w:rsidRDefault="00832ACC" w:rsidP="002D6049">
      <w:pPr>
        <w:spacing w:after="0"/>
      </w:pPr>
      <w:r>
        <w:continuationSeparator/>
      </w:r>
    </w:p>
  </w:footnote>
  <w:footnote w:id="1">
    <w:p w14:paraId="5DE47847" w14:textId="7D750C6F" w:rsidR="002D6049" w:rsidRDefault="002D6049" w:rsidP="002D6049">
      <w:pPr>
        <w:pStyle w:val="FootnoteText"/>
      </w:pPr>
      <w:r>
        <w:rPr>
          <w:rStyle w:val="FootnoteReference"/>
        </w:rPr>
        <w:footnoteRef/>
      </w:r>
      <w:r>
        <w:t>Siewiorek, Daniel (2016). Quality of Life Technologies, Final Report. Pittsburgh, PA: Carnegie Mellon University, Section 1.1, p.</w:t>
      </w:r>
      <w:r w:rsidR="0033421C">
        <w:t>1.</w:t>
      </w:r>
      <w:bookmarkStart w:id="0" w:name="_GoBack"/>
      <w:bookmarkEnd w:id="0"/>
    </w:p>
  </w:footnote>
  <w:footnote w:id="2">
    <w:p w14:paraId="1827C346" w14:textId="77777777" w:rsidR="002D6049" w:rsidRDefault="002D6049" w:rsidP="002D6049">
      <w:pPr>
        <w:pStyle w:val="FootnoteText"/>
      </w:pPr>
      <w:r>
        <w:rPr>
          <w:rStyle w:val="FootnoteReference"/>
        </w:rPr>
        <w:footnoteRef/>
      </w:r>
      <w:r>
        <w:t xml:space="preserve"> Slide contributed in 2018 by Dan Siewiorek, Director, QoLT. </w:t>
      </w:r>
    </w:p>
  </w:footnote>
  <w:footnote w:id="3">
    <w:p w14:paraId="487B201B" w14:textId="77777777" w:rsidR="002D6049" w:rsidRDefault="002D6049" w:rsidP="002D6049">
      <w:pPr>
        <w:pStyle w:val="FootnoteText"/>
      </w:pPr>
      <w:r>
        <w:rPr>
          <w:rStyle w:val="FootnoteReference"/>
        </w:rPr>
        <w:footnoteRef/>
      </w:r>
      <w:r>
        <w:t xml:space="preserve"> Siewiorek (2016), op. cit., p. 2</w:t>
      </w:r>
    </w:p>
  </w:footnote>
  <w:footnote w:id="4">
    <w:p w14:paraId="368B972F" w14:textId="77777777" w:rsidR="002D6049" w:rsidRDefault="002D6049" w:rsidP="002D6049">
      <w:pPr>
        <w:pStyle w:val="FootnoteText"/>
      </w:pPr>
      <w:r>
        <w:rPr>
          <w:rStyle w:val="FootnoteReference"/>
        </w:rPr>
        <w:footnoteRef/>
      </w:r>
      <w:r>
        <w:t xml:space="preserve"> </w:t>
      </w:r>
      <w:r w:rsidRPr="00434787">
        <w:t>https://www.cmu.edu/swartz-center-for-entrepreneurship/education-and-resources/project-olympus/</w:t>
      </w:r>
    </w:p>
  </w:footnote>
  <w:footnote w:id="5">
    <w:p w14:paraId="2433A4B7" w14:textId="77777777" w:rsidR="002D6049" w:rsidRDefault="002D6049" w:rsidP="002D6049">
      <w:pPr>
        <w:pStyle w:val="FootnoteText"/>
      </w:pPr>
      <w:r w:rsidRPr="006D7C04">
        <w:rPr>
          <w:rStyle w:val="FootnoteReference"/>
        </w:rPr>
        <w:footnoteRef/>
      </w:r>
      <w:r w:rsidRPr="006D7C04">
        <w:t xml:space="preserve"> https://www.cmu.edu/swartz-center-for-entrepreneurship/education-and-resources/index.html</w:t>
      </w:r>
    </w:p>
  </w:footnote>
  <w:footnote w:id="6">
    <w:p w14:paraId="6C42D49F" w14:textId="77777777" w:rsidR="002D6049" w:rsidRPr="006D7C04" w:rsidRDefault="002D6049" w:rsidP="002D6049">
      <w:pPr>
        <w:pStyle w:val="FootnoteText"/>
      </w:pPr>
      <w:r w:rsidRPr="006D7C04">
        <w:rPr>
          <w:rStyle w:val="FootnoteReference"/>
        </w:rPr>
        <w:footnoteRef/>
      </w:r>
      <w:r w:rsidRPr="006D7C04">
        <w:t xml:space="preserve"> </w:t>
      </w:r>
      <w:hyperlink r:id="rId1" w:history="1">
        <w:r w:rsidRPr="001838E8">
          <w:rPr>
            <w:rStyle w:val="Hyperlink"/>
          </w:rPr>
          <w:t>http://utenportugal.org/wp-content/uploads/Panel-I-Opportunities-and-Challenges-in-Technology-Transfer-and-Start-Up-Creation-in-a-Research-University-Rick-McCullough-CMU.pdf</w:t>
        </w:r>
      </w:hyperlink>
      <w:r>
        <w:t xml:space="preserve">, Slides 10 and 104 </w:t>
      </w:r>
    </w:p>
  </w:footnote>
  <w:footnote w:id="7">
    <w:p w14:paraId="5AE3D74A" w14:textId="77777777" w:rsidR="002D6049" w:rsidRDefault="002D6049" w:rsidP="002D6049">
      <w:pPr>
        <w:pStyle w:val="FootnoteText"/>
      </w:pPr>
      <w:r>
        <w:rPr>
          <w:rStyle w:val="FootnoteReference"/>
        </w:rPr>
        <w:footnoteRef/>
      </w:r>
      <w:r>
        <w:t xml:space="preserve"> Siewiorek (2016), op. cit., p.1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49"/>
    <w:rsid w:val="002D6049"/>
    <w:rsid w:val="0033421C"/>
    <w:rsid w:val="004A19EA"/>
    <w:rsid w:val="00754F0E"/>
    <w:rsid w:val="00832ACC"/>
    <w:rsid w:val="00E54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7AD18"/>
  <w15:chartTrackingRefBased/>
  <w15:docId w15:val="{6F07863B-7CA2-4932-8311-F1ECFE2D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6049"/>
    <w:pPr>
      <w:spacing w:after="0"/>
    </w:pPr>
    <w:rPr>
      <w:sz w:val="20"/>
      <w:szCs w:val="20"/>
    </w:rPr>
  </w:style>
  <w:style w:type="character" w:customStyle="1" w:styleId="FootnoteTextChar">
    <w:name w:val="Footnote Text Char"/>
    <w:basedOn w:val="DefaultParagraphFont"/>
    <w:link w:val="FootnoteText"/>
    <w:uiPriority w:val="99"/>
    <w:semiHidden/>
    <w:rsid w:val="002D6049"/>
    <w:rPr>
      <w:sz w:val="20"/>
      <w:szCs w:val="20"/>
    </w:rPr>
  </w:style>
  <w:style w:type="character" w:styleId="FootnoteReference">
    <w:name w:val="footnote reference"/>
    <w:basedOn w:val="DefaultParagraphFont"/>
    <w:uiPriority w:val="99"/>
    <w:unhideWhenUsed/>
    <w:rsid w:val="002D6049"/>
    <w:rPr>
      <w:vertAlign w:val="superscript"/>
    </w:rPr>
  </w:style>
  <w:style w:type="character" w:styleId="CommentReference">
    <w:name w:val="annotation reference"/>
    <w:basedOn w:val="DefaultParagraphFont"/>
    <w:uiPriority w:val="99"/>
    <w:semiHidden/>
    <w:unhideWhenUsed/>
    <w:rsid w:val="002D6049"/>
    <w:rPr>
      <w:sz w:val="16"/>
      <w:szCs w:val="16"/>
    </w:rPr>
  </w:style>
  <w:style w:type="paragraph" w:styleId="CommentText">
    <w:name w:val="annotation text"/>
    <w:basedOn w:val="Normal"/>
    <w:link w:val="CommentTextChar"/>
    <w:uiPriority w:val="99"/>
    <w:unhideWhenUsed/>
    <w:rsid w:val="002D6049"/>
    <w:rPr>
      <w:rFonts w:ascii="Cambria" w:eastAsia="Times New Roman" w:hAnsi="Cambria" w:cs="Times New Roman"/>
      <w:sz w:val="20"/>
      <w:szCs w:val="20"/>
    </w:rPr>
  </w:style>
  <w:style w:type="character" w:customStyle="1" w:styleId="CommentTextChar">
    <w:name w:val="Comment Text Char"/>
    <w:basedOn w:val="DefaultParagraphFont"/>
    <w:link w:val="CommentText"/>
    <w:uiPriority w:val="99"/>
    <w:rsid w:val="002D6049"/>
    <w:rPr>
      <w:rFonts w:ascii="Cambria" w:eastAsia="Times New Roman" w:hAnsi="Cambria" w:cs="Times New Roman"/>
      <w:sz w:val="20"/>
      <w:szCs w:val="20"/>
    </w:rPr>
  </w:style>
  <w:style w:type="paragraph" w:styleId="BalloonText">
    <w:name w:val="Balloon Text"/>
    <w:basedOn w:val="Normal"/>
    <w:link w:val="BalloonTextChar"/>
    <w:uiPriority w:val="99"/>
    <w:semiHidden/>
    <w:unhideWhenUsed/>
    <w:rsid w:val="002D60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049"/>
    <w:rPr>
      <w:rFonts w:ascii="Segoe UI" w:hAnsi="Segoe UI" w:cs="Segoe UI"/>
      <w:sz w:val="18"/>
      <w:szCs w:val="18"/>
    </w:rPr>
  </w:style>
  <w:style w:type="character" w:styleId="Hyperlink">
    <w:name w:val="Hyperlink"/>
    <w:basedOn w:val="DefaultParagraphFont"/>
    <w:uiPriority w:val="99"/>
    <w:unhideWhenUsed/>
    <w:rsid w:val="002D60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utenportugal.org/wp-content/uploads/Panel-I-Opportunities-and-Challenges-in-Technology-Transfer-and-Start-Up-Creation-in-a-Research-University-Rick-McCullough-CM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dc:creator>
  <cp:keywords/>
  <dc:description/>
  <cp:lastModifiedBy>Court</cp:lastModifiedBy>
  <cp:revision>2</cp:revision>
  <dcterms:created xsi:type="dcterms:W3CDTF">2019-09-25T21:22:00Z</dcterms:created>
  <dcterms:modified xsi:type="dcterms:W3CDTF">2020-02-04T19:38:00Z</dcterms:modified>
</cp:coreProperties>
</file>